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практической деятельности за межаттестационный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3.Формирует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15. Осуществляет мониторинг образовательных достижений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>21.Активно участвует в работе методобъединений педагогических работников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02501" w:rsidRPr="004B060C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66703" w:rsidRPr="00D35407" w:rsidRDefault="00802501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Pr="00CE71B7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9EC"/>
    <w:rsid w:val="00062151"/>
    <w:rsid w:val="00164141"/>
    <w:rsid w:val="001F4AB9"/>
    <w:rsid w:val="0023629B"/>
    <w:rsid w:val="00273990"/>
    <w:rsid w:val="003045DA"/>
    <w:rsid w:val="003B6AA0"/>
    <w:rsid w:val="003C441E"/>
    <w:rsid w:val="00427FA3"/>
    <w:rsid w:val="005D1C6B"/>
    <w:rsid w:val="00741FEC"/>
    <w:rsid w:val="0074559C"/>
    <w:rsid w:val="0076784D"/>
    <w:rsid w:val="00802501"/>
    <w:rsid w:val="0081469E"/>
    <w:rsid w:val="0086708A"/>
    <w:rsid w:val="0089757E"/>
    <w:rsid w:val="008F00A1"/>
    <w:rsid w:val="00987507"/>
    <w:rsid w:val="009A3CB3"/>
    <w:rsid w:val="009B39EC"/>
    <w:rsid w:val="00A86268"/>
    <w:rsid w:val="00AD2517"/>
    <w:rsid w:val="00B66703"/>
    <w:rsid w:val="00BA7D49"/>
    <w:rsid w:val="00BC0458"/>
    <w:rsid w:val="00BD05DE"/>
    <w:rsid w:val="00BF62CD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2</cp:revision>
  <cp:lastPrinted>2016-03-02T07:31:00Z</cp:lastPrinted>
  <dcterms:created xsi:type="dcterms:W3CDTF">2016-03-10T10:28:00Z</dcterms:created>
  <dcterms:modified xsi:type="dcterms:W3CDTF">2016-03-10T10:28:00Z</dcterms:modified>
</cp:coreProperties>
</file>